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D2E" w:rsidRPr="006274B4" w:rsidRDefault="00731A19" w:rsidP="00731A19">
      <w:pPr>
        <w:pStyle w:val="Heading2"/>
        <w:jc w:val="center"/>
      </w:pPr>
      <w:r w:rsidRPr="00731A19">
        <w:drawing>
          <wp:inline distT="0" distB="0" distL="0" distR="0">
            <wp:extent cx="4468495" cy="327660"/>
            <wp:effectExtent l="19050" t="0" r="8255" b="0"/>
            <wp:docPr id="3" name="Picture 1" descr="4849---Matthew-Harman-SB-and-T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849---Matthew-Harman-SB-and-TW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8495" cy="32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1A19" w:rsidRDefault="00731A19" w:rsidP="006274B4">
      <w:pPr>
        <w:pStyle w:val="Heading2"/>
        <w:jc w:val="both"/>
        <w:rPr>
          <w:b w:val="0"/>
          <w:color w:val="auto"/>
          <w:sz w:val="24"/>
          <w:szCs w:val="24"/>
          <w:u w:val="single"/>
        </w:rPr>
      </w:pPr>
    </w:p>
    <w:p w:rsidR="002B2D2E" w:rsidRPr="00D81559" w:rsidRDefault="002B2D2E" w:rsidP="006274B4">
      <w:pPr>
        <w:pStyle w:val="Heading2"/>
        <w:jc w:val="both"/>
        <w:rPr>
          <w:b w:val="0"/>
          <w:color w:val="auto"/>
          <w:sz w:val="24"/>
          <w:szCs w:val="24"/>
          <w:u w:val="single"/>
        </w:rPr>
      </w:pPr>
      <w:r w:rsidRPr="00D81559">
        <w:rPr>
          <w:b w:val="0"/>
          <w:color w:val="auto"/>
          <w:sz w:val="24"/>
          <w:szCs w:val="24"/>
          <w:u w:val="single"/>
        </w:rPr>
        <w:t>Lynch -v- Chief Constable of Warwickshire Police, Warwickshire County Council and Coventry and Warwickshire NHS Trust</w:t>
      </w:r>
    </w:p>
    <w:p w:rsidR="00E8175C" w:rsidRDefault="00E8175C" w:rsidP="006274B4">
      <w:pPr>
        <w:pStyle w:val="Heading3"/>
        <w:jc w:val="both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It was in 2009 in the case of Roach </w:t>
      </w:r>
      <w:r w:rsidR="00BF22BE">
        <w:rPr>
          <w:rFonts w:asciiTheme="minorHAnsi" w:hAnsiTheme="minorHAnsi" w:cstheme="minorHAnsi"/>
          <w:b w:val="0"/>
          <w:color w:val="auto"/>
          <w:sz w:val="24"/>
          <w:szCs w:val="24"/>
        </w:rPr>
        <w:t>v The Home Office that the recovery</w:t>
      </w:r>
      <w:r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of inquest costs</w:t>
      </w:r>
      <w:r w:rsidR="003305C8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was</w:t>
      </w:r>
      <w:r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last considered by the Courts.</w:t>
      </w:r>
      <w:r w:rsidR="002B2D2E" w:rsidRPr="006274B4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</w:t>
      </w:r>
      <w:r w:rsidR="005835A7">
        <w:rPr>
          <w:rFonts w:asciiTheme="minorHAnsi" w:hAnsiTheme="minorHAnsi" w:cstheme="minorHAnsi"/>
          <w:b w:val="0"/>
          <w:color w:val="auto"/>
          <w:sz w:val="24"/>
          <w:szCs w:val="24"/>
        </w:rPr>
        <w:t>In that case it was concluded by Davis J that inquest costs were recoverable as costs ‘of and incidental to’ the civil proceedings.</w:t>
      </w:r>
    </w:p>
    <w:p w:rsidR="00407243" w:rsidRPr="006274B4" w:rsidRDefault="00BF22BE" w:rsidP="006274B4">
      <w:pPr>
        <w:pStyle w:val="Heading3"/>
        <w:jc w:val="both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>
        <w:rPr>
          <w:rFonts w:asciiTheme="minorHAnsi" w:hAnsiTheme="minorHAnsi" w:cstheme="minorHAnsi"/>
          <w:b w:val="0"/>
          <w:color w:val="auto"/>
          <w:sz w:val="24"/>
          <w:szCs w:val="24"/>
        </w:rPr>
        <w:t>T</w:t>
      </w:r>
      <w:r w:rsidR="00E8175C">
        <w:rPr>
          <w:rFonts w:asciiTheme="minorHAnsi" w:hAnsiTheme="minorHAnsi" w:cstheme="minorHAnsi"/>
          <w:b w:val="0"/>
          <w:color w:val="auto"/>
          <w:sz w:val="24"/>
          <w:szCs w:val="24"/>
        </w:rPr>
        <w:t>he case of Lynch has</w:t>
      </w:r>
      <w:r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now</w:t>
      </w:r>
      <w:r w:rsidR="002B2D2E" w:rsidRPr="006274B4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led to </w:t>
      </w:r>
      <w:r w:rsidR="00C6707B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a </w:t>
      </w:r>
      <w:r w:rsidR="002B2D2E" w:rsidRPr="006274B4">
        <w:rPr>
          <w:rFonts w:asciiTheme="minorHAnsi" w:hAnsiTheme="minorHAnsi" w:cstheme="minorHAnsi"/>
          <w:b w:val="0"/>
          <w:color w:val="auto"/>
          <w:sz w:val="24"/>
          <w:szCs w:val="24"/>
        </w:rPr>
        <w:t>detailed consideration</w:t>
      </w:r>
      <w:r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of the issue</w:t>
      </w:r>
      <w:r w:rsidR="002B2D2E" w:rsidRPr="006274B4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by Master Rowley and </w:t>
      </w:r>
      <w:r w:rsidR="00E8175C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this consideration </w:t>
      </w:r>
      <w:r w:rsidR="002B2D2E" w:rsidRPr="006274B4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certainly </w:t>
      </w:r>
      <w:r w:rsidR="00386927" w:rsidRPr="006274B4">
        <w:rPr>
          <w:rFonts w:asciiTheme="minorHAnsi" w:hAnsiTheme="minorHAnsi" w:cstheme="minorHAnsi"/>
          <w:b w:val="0"/>
          <w:color w:val="auto"/>
          <w:sz w:val="24"/>
          <w:szCs w:val="24"/>
        </w:rPr>
        <w:t>represents</w:t>
      </w:r>
      <w:r w:rsidR="002B2D2E" w:rsidRPr="006274B4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one of the first proper </w:t>
      </w:r>
      <w:r w:rsidR="00407243" w:rsidRPr="006274B4">
        <w:rPr>
          <w:rFonts w:asciiTheme="minorHAnsi" w:hAnsiTheme="minorHAnsi" w:cstheme="minorHAnsi"/>
          <w:b w:val="0"/>
          <w:color w:val="auto"/>
          <w:sz w:val="24"/>
          <w:szCs w:val="24"/>
        </w:rPr>
        <w:t>review</w:t>
      </w:r>
      <w:r w:rsidR="00E8175C">
        <w:rPr>
          <w:rFonts w:asciiTheme="minorHAnsi" w:hAnsiTheme="minorHAnsi" w:cstheme="minorHAnsi"/>
          <w:b w:val="0"/>
          <w:color w:val="auto"/>
          <w:sz w:val="24"/>
          <w:szCs w:val="24"/>
        </w:rPr>
        <w:t>s</w:t>
      </w:r>
      <w:r w:rsidR="00407243" w:rsidRPr="006274B4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of what should be considered</w:t>
      </w:r>
      <w:r w:rsidR="002B2D2E" w:rsidRPr="006274B4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reasonable and proportionate recoverable costs of inquests </w:t>
      </w:r>
      <w:r w:rsidR="00407243" w:rsidRPr="006274B4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claimed </w:t>
      </w:r>
      <w:r w:rsidR="002B2D2E" w:rsidRPr="006274B4">
        <w:rPr>
          <w:rFonts w:asciiTheme="minorHAnsi" w:hAnsiTheme="minorHAnsi" w:cstheme="minorHAnsi"/>
          <w:b w:val="0"/>
          <w:color w:val="auto"/>
          <w:sz w:val="24"/>
          <w:szCs w:val="24"/>
        </w:rPr>
        <w:t>in subsequent civil proceedings</w:t>
      </w:r>
      <w:r w:rsidR="00407243" w:rsidRPr="006274B4">
        <w:rPr>
          <w:rFonts w:asciiTheme="minorHAnsi" w:hAnsiTheme="minorHAnsi" w:cstheme="minorHAnsi"/>
          <w:b w:val="0"/>
          <w:color w:val="auto"/>
          <w:sz w:val="24"/>
          <w:szCs w:val="24"/>
        </w:rPr>
        <w:t>.</w:t>
      </w:r>
      <w:r w:rsidR="002B2D2E" w:rsidRPr="006274B4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</w:t>
      </w:r>
    </w:p>
    <w:p w:rsidR="002B2D2E" w:rsidRPr="006274B4" w:rsidRDefault="002B2D2E" w:rsidP="006274B4">
      <w:pPr>
        <w:pStyle w:val="Heading3"/>
        <w:jc w:val="both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6274B4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Master Rowley’s decision provides significant guidance </w:t>
      </w:r>
      <w:r w:rsidR="00407243" w:rsidRPr="006274B4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and makes it </w:t>
      </w:r>
      <w:r w:rsidRPr="006274B4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clear that there </w:t>
      </w:r>
      <w:r w:rsidR="00BF22BE">
        <w:rPr>
          <w:rFonts w:asciiTheme="minorHAnsi" w:hAnsiTheme="minorHAnsi" w:cstheme="minorHAnsi"/>
          <w:b w:val="0"/>
          <w:color w:val="auto"/>
          <w:sz w:val="24"/>
          <w:szCs w:val="24"/>
        </w:rPr>
        <w:t>are</w:t>
      </w:r>
      <w:r w:rsidRPr="006274B4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limitations to recovery </w:t>
      </w:r>
      <w:r w:rsidR="00407243" w:rsidRPr="006274B4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of these costs that </w:t>
      </w:r>
      <w:r w:rsidRPr="006274B4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can be </w:t>
      </w:r>
      <w:r w:rsidR="00407243" w:rsidRPr="006274B4">
        <w:rPr>
          <w:rFonts w:asciiTheme="minorHAnsi" w:hAnsiTheme="minorHAnsi" w:cstheme="minorHAnsi"/>
          <w:b w:val="0"/>
          <w:color w:val="auto"/>
          <w:sz w:val="24"/>
          <w:szCs w:val="24"/>
        </w:rPr>
        <w:t>utilised</w:t>
      </w:r>
      <w:r w:rsidRPr="006274B4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when applying the test of rea</w:t>
      </w:r>
      <w:r w:rsidR="00E8175C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sonableness and proportionality to the receiving </w:t>
      </w:r>
      <w:r w:rsidR="00C6707B">
        <w:rPr>
          <w:rFonts w:asciiTheme="minorHAnsi" w:hAnsiTheme="minorHAnsi" w:cstheme="minorHAnsi"/>
          <w:b w:val="0"/>
          <w:color w:val="auto"/>
          <w:sz w:val="24"/>
          <w:szCs w:val="24"/>
        </w:rPr>
        <w:t>party’s</w:t>
      </w:r>
      <w:r w:rsidR="00E8175C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bill.</w:t>
      </w:r>
    </w:p>
    <w:p w:rsidR="002B2D2E" w:rsidRDefault="00407243" w:rsidP="006274B4">
      <w:pPr>
        <w:pStyle w:val="Heading3"/>
        <w:jc w:val="both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6274B4">
        <w:rPr>
          <w:rFonts w:asciiTheme="minorHAnsi" w:hAnsiTheme="minorHAnsi" w:cstheme="minorHAnsi"/>
          <w:b w:val="0"/>
          <w:color w:val="auto"/>
          <w:sz w:val="24"/>
          <w:szCs w:val="24"/>
        </w:rPr>
        <w:t>The Costs Judge</w:t>
      </w:r>
      <w:r w:rsidR="002B2D2E" w:rsidRPr="006274B4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</w:t>
      </w:r>
      <w:r w:rsidR="002B2D2E" w:rsidRPr="006274B4">
        <w:rPr>
          <w:rStyle w:val="Emphasis"/>
          <w:rFonts w:asciiTheme="minorHAnsi" w:hAnsiTheme="minorHAnsi" w:cstheme="minorHAnsi"/>
          <w:b w:val="0"/>
          <w:i w:val="0"/>
          <w:color w:val="auto"/>
          <w:sz w:val="24"/>
          <w:szCs w:val="24"/>
        </w:rPr>
        <w:t>considered that when</w:t>
      </w:r>
      <w:r w:rsidR="002B2D2E" w:rsidRPr="006274B4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assessing the recoverable inquest costs in subsequent civil proceedings</w:t>
      </w:r>
      <w:r w:rsidRPr="006274B4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it was important that</w:t>
      </w:r>
      <w:r w:rsidR="002B2D2E" w:rsidRPr="006274B4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the court </w:t>
      </w:r>
      <w:r w:rsidRPr="006274B4">
        <w:rPr>
          <w:rFonts w:asciiTheme="minorHAnsi" w:hAnsiTheme="minorHAnsi" w:cstheme="minorHAnsi"/>
          <w:b w:val="0"/>
          <w:color w:val="auto"/>
          <w:sz w:val="24"/>
          <w:szCs w:val="24"/>
        </w:rPr>
        <w:t>was clear that it was not</w:t>
      </w:r>
      <w:r w:rsidR="002B2D2E" w:rsidRPr="006274B4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assessing the “reasonable and proportionate costs of an inquest</w:t>
      </w:r>
      <w:r w:rsidRPr="006274B4">
        <w:rPr>
          <w:rFonts w:asciiTheme="minorHAnsi" w:hAnsiTheme="minorHAnsi" w:cstheme="minorHAnsi"/>
          <w:b w:val="0"/>
          <w:color w:val="auto"/>
          <w:sz w:val="24"/>
          <w:szCs w:val="24"/>
        </w:rPr>
        <w:t>” but wa</w:t>
      </w:r>
      <w:r w:rsidR="002B2D2E" w:rsidRPr="006274B4">
        <w:rPr>
          <w:rFonts w:asciiTheme="minorHAnsi" w:hAnsiTheme="minorHAnsi" w:cstheme="minorHAnsi"/>
          <w:b w:val="0"/>
          <w:color w:val="auto"/>
          <w:sz w:val="24"/>
          <w:szCs w:val="24"/>
        </w:rPr>
        <w:t>s instead charged with assessing and determining what “</w:t>
      </w:r>
      <w:r w:rsidR="002B2D2E" w:rsidRPr="006274B4">
        <w:rPr>
          <w:rFonts w:asciiTheme="minorHAnsi" w:hAnsiTheme="minorHAnsi" w:cstheme="minorHAnsi"/>
          <w:b w:val="0"/>
          <w:i/>
          <w:color w:val="auto"/>
          <w:sz w:val="24"/>
          <w:szCs w:val="24"/>
        </w:rPr>
        <w:t>the reasonable and proportionate elements of inquest costs are</w:t>
      </w:r>
      <w:r w:rsidR="0027769E">
        <w:rPr>
          <w:rFonts w:asciiTheme="minorHAnsi" w:hAnsiTheme="minorHAnsi" w:cstheme="minorHAnsi"/>
          <w:b w:val="0"/>
          <w:i/>
          <w:color w:val="auto"/>
          <w:sz w:val="24"/>
          <w:szCs w:val="24"/>
        </w:rPr>
        <w:t xml:space="preserve"> also</w:t>
      </w:r>
      <w:r w:rsidR="002B2D2E" w:rsidRPr="006274B4">
        <w:rPr>
          <w:rFonts w:asciiTheme="minorHAnsi" w:hAnsiTheme="minorHAnsi" w:cstheme="minorHAnsi"/>
          <w:b w:val="0"/>
          <w:i/>
          <w:color w:val="auto"/>
          <w:sz w:val="24"/>
          <w:szCs w:val="24"/>
        </w:rPr>
        <w:t xml:space="preserve"> reasonable and proportionate costs of the civil proceeding</w:t>
      </w:r>
      <w:r w:rsidR="002B2D2E" w:rsidRPr="006274B4">
        <w:rPr>
          <w:rFonts w:asciiTheme="minorHAnsi" w:hAnsiTheme="minorHAnsi" w:cstheme="minorHAnsi"/>
          <w:b w:val="0"/>
          <w:color w:val="auto"/>
          <w:sz w:val="24"/>
          <w:szCs w:val="24"/>
        </w:rPr>
        <w:t>s”.</w:t>
      </w:r>
    </w:p>
    <w:p w:rsidR="0027769E" w:rsidRPr="0027769E" w:rsidRDefault="0027769E" w:rsidP="0027769E"/>
    <w:p w:rsidR="0027769E" w:rsidRDefault="0027769E" w:rsidP="006274B4">
      <w:pPr>
        <w:pStyle w:val="Heading3"/>
        <w:jc w:val="both"/>
        <w:rPr>
          <w:rFonts w:asciiTheme="minorHAnsi" w:hAnsiTheme="minorHAnsi" w:cstheme="minorHAnsi"/>
          <w:b w:val="0"/>
          <w:color w:val="auto"/>
          <w:sz w:val="24"/>
          <w:szCs w:val="24"/>
        </w:rPr>
      </w:pPr>
    </w:p>
    <w:p w:rsidR="00C24CB4" w:rsidRDefault="002B2D2E" w:rsidP="006274B4">
      <w:pPr>
        <w:pStyle w:val="Heading3"/>
        <w:jc w:val="both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6274B4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Colette Lynch </w:t>
      </w:r>
      <w:r w:rsidR="00407243" w:rsidRPr="006274B4">
        <w:rPr>
          <w:rFonts w:asciiTheme="minorHAnsi" w:hAnsiTheme="minorHAnsi" w:cstheme="minorHAnsi"/>
          <w:b w:val="0"/>
          <w:color w:val="auto"/>
          <w:sz w:val="24"/>
          <w:szCs w:val="24"/>
        </w:rPr>
        <w:t>had been</w:t>
      </w:r>
      <w:r w:rsidRPr="006274B4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murdered by her former</w:t>
      </w:r>
      <w:r w:rsidR="005835A7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partner. The inquest was opened in February </w:t>
      </w:r>
      <w:proofErr w:type="gramStart"/>
      <w:r w:rsidR="005835A7">
        <w:rPr>
          <w:rFonts w:asciiTheme="minorHAnsi" w:hAnsiTheme="minorHAnsi" w:cstheme="minorHAnsi"/>
          <w:b w:val="0"/>
          <w:color w:val="auto"/>
          <w:sz w:val="24"/>
          <w:szCs w:val="24"/>
        </w:rPr>
        <w:t>2005</w:t>
      </w:r>
      <w:r w:rsidR="00C24CB4">
        <w:rPr>
          <w:rFonts w:asciiTheme="minorHAnsi" w:hAnsiTheme="minorHAnsi" w:cstheme="minorHAnsi"/>
          <w:b w:val="0"/>
          <w:color w:val="auto"/>
          <w:sz w:val="24"/>
          <w:szCs w:val="24"/>
        </w:rPr>
        <w:t>,</w:t>
      </w:r>
      <w:proofErr w:type="gramEnd"/>
      <w:r w:rsidR="00C24CB4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however, it was to be four years before the inquest hearing actually took place, pending the outcome of associated proceedings and investigations.</w:t>
      </w:r>
    </w:p>
    <w:p w:rsidR="00C6707B" w:rsidRDefault="00C24CB4" w:rsidP="006274B4">
      <w:pPr>
        <w:pStyle w:val="Heading3"/>
        <w:jc w:val="both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The hearing started </w:t>
      </w:r>
      <w:r w:rsidRPr="006274B4">
        <w:rPr>
          <w:rFonts w:asciiTheme="minorHAnsi" w:hAnsiTheme="minorHAnsi" w:cstheme="minorHAnsi"/>
          <w:b w:val="0"/>
          <w:color w:val="auto"/>
          <w:sz w:val="24"/>
          <w:szCs w:val="24"/>
        </w:rPr>
        <w:t>in</w:t>
      </w:r>
      <w:r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October</w:t>
      </w:r>
      <w:r w:rsidR="002B2D2E" w:rsidRPr="006274B4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2009</w:t>
      </w:r>
      <w:r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and lasted for two</w:t>
      </w:r>
      <w:r w:rsidR="002B2D2E" w:rsidRPr="006274B4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and a half months. </w:t>
      </w:r>
    </w:p>
    <w:p w:rsidR="002B2D2E" w:rsidRPr="006274B4" w:rsidRDefault="00C6707B" w:rsidP="006274B4">
      <w:pPr>
        <w:pStyle w:val="Heading3"/>
        <w:jc w:val="both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>
        <w:rPr>
          <w:rFonts w:asciiTheme="minorHAnsi" w:hAnsiTheme="minorHAnsi" w:cstheme="minorHAnsi"/>
          <w:b w:val="0"/>
          <w:color w:val="auto"/>
          <w:sz w:val="24"/>
          <w:szCs w:val="24"/>
        </w:rPr>
        <w:t>Subsequently a</w:t>
      </w:r>
      <w:r w:rsidR="002B2D2E" w:rsidRPr="006274B4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civil action</w:t>
      </w:r>
      <w:r>
        <w:rPr>
          <w:rFonts w:asciiTheme="minorHAnsi" w:hAnsiTheme="minorHAnsi" w:cstheme="minorHAnsi"/>
          <w:b w:val="0"/>
          <w:color w:val="auto"/>
          <w:sz w:val="24"/>
          <w:szCs w:val="24"/>
        </w:rPr>
        <w:t>,</w:t>
      </w:r>
      <w:r w:rsidR="00E8175C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arising from the Police’s failings</w:t>
      </w:r>
      <w:r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and </w:t>
      </w:r>
      <w:r w:rsidR="002B2D2E" w:rsidRPr="006274B4">
        <w:rPr>
          <w:rFonts w:asciiTheme="minorHAnsi" w:hAnsiTheme="minorHAnsi" w:cstheme="minorHAnsi"/>
          <w:b w:val="0"/>
          <w:color w:val="auto"/>
          <w:sz w:val="24"/>
          <w:szCs w:val="24"/>
        </w:rPr>
        <w:t>brought on behalf of the estate and Colette Lynch’s family</w:t>
      </w:r>
      <w:r w:rsidR="0027769E">
        <w:rPr>
          <w:rFonts w:asciiTheme="minorHAnsi" w:hAnsiTheme="minorHAnsi" w:cstheme="minorHAnsi"/>
          <w:b w:val="0"/>
          <w:color w:val="auto"/>
          <w:sz w:val="24"/>
          <w:szCs w:val="24"/>
        </w:rPr>
        <w:t>,</w:t>
      </w:r>
      <w:r w:rsidR="002B2D2E" w:rsidRPr="006274B4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was settled for a confidential sum in 2012. The family sought to recover costs of £1.5m including approximately £750,000 for the pre-inquest preparation and</w:t>
      </w:r>
      <w:r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the inquest itself.</w:t>
      </w:r>
    </w:p>
    <w:p w:rsidR="002B2D2E" w:rsidRPr="006274B4" w:rsidRDefault="002B2D2E" w:rsidP="006274B4">
      <w:pPr>
        <w:pStyle w:val="Heading3"/>
        <w:jc w:val="both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6274B4">
        <w:rPr>
          <w:rFonts w:asciiTheme="minorHAnsi" w:hAnsiTheme="minorHAnsi" w:cstheme="minorHAnsi"/>
          <w:b w:val="0"/>
          <w:color w:val="auto"/>
          <w:sz w:val="24"/>
          <w:szCs w:val="24"/>
        </w:rPr>
        <w:t>In his judgment Master Rowley warns that ‘</w:t>
      </w:r>
      <w:r w:rsidRPr="006274B4">
        <w:rPr>
          <w:rFonts w:asciiTheme="minorHAnsi" w:hAnsiTheme="minorHAnsi" w:cstheme="minorHAnsi"/>
          <w:b w:val="0"/>
          <w:i/>
          <w:color w:val="auto"/>
          <w:sz w:val="24"/>
          <w:szCs w:val="24"/>
        </w:rPr>
        <w:t>It is not for me to lay down any form of general guidelines and the conclusions in this judgment relate to this case alone</w:t>
      </w:r>
      <w:r w:rsidRPr="006274B4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’  </w:t>
      </w:r>
      <w:r w:rsidR="00E8175C">
        <w:rPr>
          <w:rFonts w:asciiTheme="minorHAnsi" w:hAnsiTheme="minorHAnsi" w:cstheme="minorHAnsi"/>
          <w:b w:val="0"/>
          <w:color w:val="auto"/>
          <w:sz w:val="24"/>
          <w:szCs w:val="24"/>
        </w:rPr>
        <w:t>but one can</w:t>
      </w:r>
      <w:r w:rsidR="00407243" w:rsidRPr="006274B4">
        <w:rPr>
          <w:rFonts w:asciiTheme="minorHAnsi" w:hAnsiTheme="minorHAnsi" w:cstheme="minorHAnsi"/>
          <w:b w:val="0"/>
          <w:color w:val="auto"/>
          <w:sz w:val="24"/>
          <w:szCs w:val="24"/>
        </w:rPr>
        <w:t>not help but heed the guidance and apply the same when dealing with the opposition to costs of and incidental to any inquiry.</w:t>
      </w:r>
    </w:p>
    <w:p w:rsidR="0039146C" w:rsidRDefault="00407243" w:rsidP="006274B4">
      <w:pPr>
        <w:pStyle w:val="Heading3"/>
        <w:jc w:val="both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6274B4">
        <w:rPr>
          <w:rFonts w:asciiTheme="minorHAnsi" w:hAnsiTheme="minorHAnsi" w:cstheme="minorHAnsi"/>
          <w:b w:val="0"/>
          <w:color w:val="auto"/>
          <w:sz w:val="24"/>
          <w:szCs w:val="24"/>
        </w:rPr>
        <w:t>As previously stated</w:t>
      </w:r>
      <w:r w:rsidR="00C24CB4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the case of Roach had concluded that Inquest</w:t>
      </w:r>
      <w:r w:rsidR="002B2D2E" w:rsidRPr="006274B4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costs are recoverable in principle where they are costs ‘of and incidental to’ the civil proceedings. However</w:t>
      </w:r>
      <w:r w:rsidR="00C24CB4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since that case</w:t>
      </w:r>
      <w:r w:rsidR="00E8175C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there has been a major change in the position occasioned by The Coroner’s (Inquests) Rules 2013</w:t>
      </w:r>
      <w:r w:rsidR="005835A7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with regard to prior disclosure.</w:t>
      </w:r>
    </w:p>
    <w:p w:rsidR="002B2D2E" w:rsidRPr="006274B4" w:rsidRDefault="00C6707B" w:rsidP="006274B4">
      <w:pPr>
        <w:pStyle w:val="Heading3"/>
        <w:jc w:val="both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>
        <w:rPr>
          <w:rFonts w:asciiTheme="minorHAnsi" w:hAnsiTheme="minorHAnsi" w:cstheme="minorHAnsi"/>
          <w:b w:val="0"/>
          <w:color w:val="auto"/>
          <w:sz w:val="24"/>
          <w:szCs w:val="24"/>
        </w:rPr>
        <w:t>As a result of these rules d</w:t>
      </w:r>
      <w:r w:rsidR="0039146C">
        <w:rPr>
          <w:rFonts w:asciiTheme="minorHAnsi" w:hAnsiTheme="minorHAnsi" w:cstheme="minorHAnsi"/>
          <w:b w:val="0"/>
          <w:color w:val="auto"/>
          <w:sz w:val="24"/>
          <w:szCs w:val="24"/>
        </w:rPr>
        <w:t>isclosure</w:t>
      </w:r>
      <w:r w:rsidR="002B2D2E" w:rsidRPr="006274B4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prior to an inquest is </w:t>
      </w:r>
      <w:r w:rsidR="0039146C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now routine and </w:t>
      </w:r>
      <w:r w:rsidR="002B2D2E" w:rsidRPr="006274B4">
        <w:rPr>
          <w:rFonts w:asciiTheme="minorHAnsi" w:hAnsiTheme="minorHAnsi" w:cstheme="minorHAnsi"/>
          <w:b w:val="0"/>
          <w:color w:val="auto"/>
          <w:sz w:val="24"/>
          <w:szCs w:val="24"/>
        </w:rPr>
        <w:t>this has</w:t>
      </w:r>
      <w:r w:rsidR="0039146C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had</w:t>
      </w:r>
      <w:r w:rsidR="002B2D2E" w:rsidRPr="006274B4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a significant impact on whether the costs of full attendance</w:t>
      </w:r>
      <w:r w:rsidR="00386927" w:rsidRPr="006274B4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</w:t>
      </w:r>
      <w:r w:rsidR="002B2D2E" w:rsidRPr="006274B4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are costs </w:t>
      </w:r>
      <w:r w:rsidR="00C24CB4">
        <w:rPr>
          <w:rFonts w:asciiTheme="minorHAnsi" w:hAnsiTheme="minorHAnsi" w:cstheme="minorHAnsi"/>
          <w:b w:val="0"/>
          <w:color w:val="auto"/>
          <w:sz w:val="24"/>
          <w:szCs w:val="24"/>
        </w:rPr>
        <w:t>‘</w:t>
      </w:r>
      <w:r w:rsidR="002B2D2E" w:rsidRPr="006274B4">
        <w:rPr>
          <w:rFonts w:asciiTheme="minorHAnsi" w:hAnsiTheme="minorHAnsi" w:cstheme="minorHAnsi"/>
          <w:b w:val="0"/>
          <w:color w:val="auto"/>
          <w:sz w:val="24"/>
          <w:szCs w:val="24"/>
        </w:rPr>
        <w:t>of and incidental to</w:t>
      </w:r>
      <w:r w:rsidR="00C24CB4">
        <w:rPr>
          <w:rFonts w:asciiTheme="minorHAnsi" w:hAnsiTheme="minorHAnsi" w:cstheme="minorHAnsi"/>
          <w:b w:val="0"/>
          <w:color w:val="auto"/>
          <w:sz w:val="24"/>
          <w:szCs w:val="24"/>
        </w:rPr>
        <w:t>’</w:t>
      </w:r>
      <w:r w:rsidR="002B2D2E" w:rsidRPr="006274B4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the civil proceedings.</w:t>
      </w:r>
    </w:p>
    <w:p w:rsidR="006274B4" w:rsidRDefault="00407243" w:rsidP="006274B4">
      <w:pPr>
        <w:pStyle w:val="Heading3"/>
        <w:jc w:val="both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6274B4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As mentioned </w:t>
      </w:r>
      <w:r w:rsidR="006274B4" w:rsidRPr="006274B4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the </w:t>
      </w:r>
      <w:r w:rsidR="002B2D2E" w:rsidRPr="006274B4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costs claimed relating to the inquest amounted to £750,000, </w:t>
      </w:r>
      <w:r w:rsidR="006274B4" w:rsidRPr="006274B4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of which </w:t>
      </w:r>
      <w:r w:rsidR="002B2D2E" w:rsidRPr="006274B4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approximately £600,000 </w:t>
      </w:r>
      <w:r w:rsidR="006274B4" w:rsidRPr="006274B4">
        <w:rPr>
          <w:rFonts w:asciiTheme="minorHAnsi" w:hAnsiTheme="minorHAnsi" w:cstheme="minorHAnsi"/>
          <w:b w:val="0"/>
          <w:color w:val="auto"/>
          <w:sz w:val="24"/>
          <w:szCs w:val="24"/>
        </w:rPr>
        <w:t>related to the attendance. T</w:t>
      </w:r>
      <w:r w:rsidR="002B2D2E" w:rsidRPr="006274B4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he claimants </w:t>
      </w:r>
      <w:r w:rsidR="006274B4" w:rsidRPr="006274B4">
        <w:rPr>
          <w:rFonts w:asciiTheme="minorHAnsi" w:hAnsiTheme="minorHAnsi" w:cstheme="minorHAnsi"/>
          <w:b w:val="0"/>
          <w:color w:val="auto"/>
          <w:sz w:val="24"/>
          <w:szCs w:val="24"/>
        </w:rPr>
        <w:t>had been</w:t>
      </w:r>
      <w:r w:rsidR="002B2D2E" w:rsidRPr="006274B4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represented at the inquest by a team comprising senior and junior counsel, a partner and a trainee solicitor.</w:t>
      </w:r>
    </w:p>
    <w:p w:rsidR="00C6707B" w:rsidRDefault="002B2D2E" w:rsidP="006274B4">
      <w:pPr>
        <w:pStyle w:val="Heading3"/>
        <w:jc w:val="both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6274B4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Master Rowley found the claimants’ costs </w:t>
      </w:r>
      <w:r w:rsidR="00407243" w:rsidRPr="006274B4">
        <w:rPr>
          <w:rFonts w:asciiTheme="minorHAnsi" w:hAnsiTheme="minorHAnsi" w:cstheme="minorHAnsi"/>
          <w:b w:val="0"/>
          <w:color w:val="auto"/>
          <w:sz w:val="24"/>
          <w:szCs w:val="24"/>
        </w:rPr>
        <w:t>to be globally disproportionate;</w:t>
      </w:r>
      <w:r w:rsidRPr="006274B4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</w:t>
      </w:r>
      <w:r w:rsidR="00407243" w:rsidRPr="006274B4">
        <w:rPr>
          <w:rFonts w:asciiTheme="minorHAnsi" w:hAnsiTheme="minorHAnsi" w:cstheme="minorHAnsi"/>
          <w:b w:val="0"/>
          <w:color w:val="auto"/>
          <w:sz w:val="24"/>
          <w:szCs w:val="24"/>
        </w:rPr>
        <w:t>finding it</w:t>
      </w:r>
      <w:r w:rsidRPr="006274B4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‘</w:t>
      </w:r>
      <w:r w:rsidRPr="006274B4">
        <w:rPr>
          <w:rFonts w:asciiTheme="minorHAnsi" w:hAnsiTheme="minorHAnsi" w:cstheme="minorHAnsi"/>
          <w:b w:val="0"/>
          <w:i/>
          <w:color w:val="auto"/>
          <w:sz w:val="24"/>
          <w:szCs w:val="24"/>
        </w:rPr>
        <w:t>inconceivable</w:t>
      </w:r>
      <w:r w:rsidR="00386927" w:rsidRPr="006274B4">
        <w:rPr>
          <w:rFonts w:asciiTheme="minorHAnsi" w:hAnsiTheme="minorHAnsi" w:cstheme="minorHAnsi"/>
          <w:b w:val="0"/>
          <w:color w:val="auto"/>
          <w:sz w:val="24"/>
          <w:szCs w:val="24"/>
        </w:rPr>
        <w:t>”</w:t>
      </w:r>
      <w:r w:rsidRPr="006274B4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that the approach adopted by the claimants in this case would </w:t>
      </w:r>
      <w:r w:rsidR="00407243" w:rsidRPr="006274B4">
        <w:rPr>
          <w:rFonts w:asciiTheme="minorHAnsi" w:hAnsiTheme="minorHAnsi" w:cstheme="minorHAnsi"/>
          <w:b w:val="0"/>
          <w:color w:val="auto"/>
          <w:sz w:val="24"/>
          <w:szCs w:val="24"/>
        </w:rPr>
        <w:t>have been</w:t>
      </w:r>
      <w:r w:rsidRPr="006274B4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upheld as a proportionate method of bringing these claims to a civil hearing</w:t>
      </w:r>
      <w:r w:rsidR="00407243" w:rsidRPr="006274B4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had the matter required</w:t>
      </w:r>
      <w:r w:rsidR="00C24CB4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a</w:t>
      </w:r>
      <w:r w:rsidR="00407243" w:rsidRPr="006274B4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case management hearing</w:t>
      </w:r>
      <w:r w:rsidR="00C6707B">
        <w:rPr>
          <w:rFonts w:asciiTheme="minorHAnsi" w:hAnsiTheme="minorHAnsi" w:cstheme="minorHAnsi"/>
          <w:b w:val="0"/>
          <w:color w:val="auto"/>
          <w:sz w:val="24"/>
          <w:szCs w:val="24"/>
        </w:rPr>
        <w:t>.</w:t>
      </w:r>
    </w:p>
    <w:p w:rsidR="0039146C" w:rsidRDefault="00C6707B" w:rsidP="006274B4">
      <w:pPr>
        <w:pStyle w:val="Heading3"/>
        <w:jc w:val="both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>
        <w:rPr>
          <w:rFonts w:asciiTheme="minorHAnsi" w:hAnsiTheme="minorHAnsi" w:cstheme="minorHAnsi"/>
          <w:b w:val="0"/>
          <w:color w:val="auto"/>
          <w:sz w:val="24"/>
          <w:szCs w:val="24"/>
        </w:rPr>
        <w:t>He commented further</w:t>
      </w:r>
      <w:r w:rsidR="00407243" w:rsidRPr="006274B4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that</w:t>
      </w:r>
      <w:r w:rsidR="00386927" w:rsidRPr="006274B4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</w:t>
      </w:r>
      <w:r w:rsidR="00407243" w:rsidRPr="006274B4">
        <w:rPr>
          <w:rFonts w:asciiTheme="minorHAnsi" w:hAnsiTheme="minorHAnsi" w:cstheme="minorHAnsi"/>
          <w:b w:val="0"/>
          <w:color w:val="auto"/>
          <w:sz w:val="24"/>
          <w:szCs w:val="24"/>
        </w:rPr>
        <w:t>“</w:t>
      </w:r>
      <w:r w:rsidR="00386927" w:rsidRPr="006274B4">
        <w:rPr>
          <w:rFonts w:asciiTheme="minorHAnsi" w:hAnsiTheme="minorHAnsi" w:cstheme="minorHAnsi"/>
          <w:b w:val="0"/>
          <w:color w:val="auto"/>
          <w:sz w:val="24"/>
          <w:szCs w:val="24"/>
        </w:rPr>
        <w:t>n</w:t>
      </w:r>
      <w:r w:rsidR="002B2D2E" w:rsidRPr="006274B4">
        <w:rPr>
          <w:rFonts w:asciiTheme="minorHAnsi" w:hAnsiTheme="minorHAnsi" w:cstheme="minorHAnsi"/>
          <w:b w:val="0"/>
          <w:color w:val="auto"/>
          <w:sz w:val="24"/>
          <w:szCs w:val="24"/>
        </w:rPr>
        <w:t>o case managing judge would allow sums of the magnitude claimed here to be spent in the working up of the claim before the close of pleadings in the court proceed</w:t>
      </w:r>
      <w:r w:rsidR="00386927" w:rsidRPr="006274B4">
        <w:rPr>
          <w:rFonts w:asciiTheme="minorHAnsi" w:hAnsiTheme="minorHAnsi" w:cstheme="minorHAnsi"/>
          <w:b w:val="0"/>
          <w:color w:val="auto"/>
          <w:sz w:val="24"/>
          <w:szCs w:val="24"/>
        </w:rPr>
        <w:t>ings’.</w:t>
      </w:r>
      <w:r w:rsidR="0039146C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</w:t>
      </w:r>
    </w:p>
    <w:p w:rsidR="002B2D2E" w:rsidRPr="006274B4" w:rsidRDefault="0039146C" w:rsidP="006274B4">
      <w:pPr>
        <w:pStyle w:val="Heading3"/>
        <w:jc w:val="both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>
        <w:rPr>
          <w:rFonts w:asciiTheme="minorHAnsi" w:hAnsiTheme="minorHAnsi" w:cstheme="minorHAnsi"/>
          <w:b w:val="0"/>
          <w:color w:val="auto"/>
          <w:sz w:val="24"/>
          <w:szCs w:val="24"/>
        </w:rPr>
        <w:t>Of course this smacks of hindsight but the Master</w:t>
      </w:r>
      <w:r w:rsidR="0027769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goes on to deal with this view</w:t>
      </w:r>
      <w:r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in some detail at </w:t>
      </w:r>
      <w:proofErr w:type="spellStart"/>
      <w:r>
        <w:rPr>
          <w:rFonts w:asciiTheme="minorHAnsi" w:hAnsiTheme="minorHAnsi" w:cstheme="minorHAnsi"/>
          <w:b w:val="0"/>
          <w:color w:val="auto"/>
          <w:sz w:val="24"/>
          <w:szCs w:val="24"/>
        </w:rPr>
        <w:t>para</w:t>
      </w:r>
      <w:proofErr w:type="spellEnd"/>
      <w:r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. </w:t>
      </w:r>
      <w:proofErr w:type="gramStart"/>
      <w:r>
        <w:rPr>
          <w:rFonts w:asciiTheme="minorHAnsi" w:hAnsiTheme="minorHAnsi" w:cstheme="minorHAnsi"/>
          <w:b w:val="0"/>
          <w:color w:val="auto"/>
          <w:sz w:val="24"/>
          <w:szCs w:val="24"/>
        </w:rPr>
        <w:t>68 onwards of his full judgment.</w:t>
      </w:r>
      <w:proofErr w:type="gramEnd"/>
    </w:p>
    <w:p w:rsidR="0027769E" w:rsidRPr="0027769E" w:rsidRDefault="00386927" w:rsidP="0027769E">
      <w:pPr>
        <w:pStyle w:val="Heading3"/>
        <w:jc w:val="both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6274B4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The Master was in agreement that, as per </w:t>
      </w:r>
      <w:r w:rsidRPr="006274B4">
        <w:rPr>
          <w:rFonts w:asciiTheme="minorHAnsi" w:hAnsiTheme="minorHAnsi" w:cstheme="minorHAnsi"/>
          <w:b w:val="0"/>
          <w:i/>
          <w:color w:val="auto"/>
          <w:sz w:val="24"/>
          <w:szCs w:val="24"/>
        </w:rPr>
        <w:t>Roach</w:t>
      </w:r>
      <w:r w:rsidRPr="006274B4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, </w:t>
      </w:r>
      <w:r w:rsidR="002B2D2E" w:rsidRPr="006274B4">
        <w:rPr>
          <w:rFonts w:asciiTheme="minorHAnsi" w:hAnsiTheme="minorHAnsi" w:cstheme="minorHAnsi"/>
          <w:b w:val="0"/>
          <w:color w:val="auto"/>
          <w:sz w:val="24"/>
          <w:szCs w:val="24"/>
        </w:rPr>
        <w:t>attendance may be justified for the</w:t>
      </w:r>
      <w:r w:rsidRPr="006274B4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purposes of gathering evidence</w:t>
      </w:r>
      <w:r w:rsidR="00890EB9">
        <w:rPr>
          <w:rFonts w:asciiTheme="minorHAnsi" w:hAnsiTheme="minorHAnsi" w:cstheme="minorHAnsi"/>
          <w:b w:val="0"/>
          <w:color w:val="auto"/>
          <w:sz w:val="24"/>
          <w:szCs w:val="24"/>
        </w:rPr>
        <w:t>,</w:t>
      </w:r>
      <w:r w:rsidRPr="006274B4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however</w:t>
      </w:r>
      <w:r w:rsidR="00BF22B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successful recovery</w:t>
      </w:r>
      <w:r w:rsidR="002B2D2E" w:rsidRPr="006274B4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of the costs </w:t>
      </w:r>
      <w:r w:rsidRPr="006274B4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of </w:t>
      </w:r>
      <w:r w:rsidR="0002059E">
        <w:rPr>
          <w:rFonts w:asciiTheme="minorHAnsi" w:hAnsiTheme="minorHAnsi" w:cstheme="minorHAnsi"/>
          <w:b w:val="0"/>
          <w:color w:val="auto"/>
          <w:sz w:val="24"/>
          <w:szCs w:val="24"/>
        </w:rPr>
        <w:t>such an attendance</w:t>
      </w:r>
      <w:r w:rsidRPr="006274B4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required </w:t>
      </w:r>
      <w:r w:rsidR="006274B4" w:rsidRPr="006274B4">
        <w:rPr>
          <w:rFonts w:asciiTheme="minorHAnsi" w:hAnsiTheme="minorHAnsi" w:cstheme="minorHAnsi"/>
          <w:b w:val="0"/>
          <w:color w:val="auto"/>
          <w:sz w:val="24"/>
          <w:szCs w:val="24"/>
        </w:rPr>
        <w:t>justification</w:t>
      </w:r>
      <w:r w:rsidR="00C6707B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as</w:t>
      </w:r>
      <w:r w:rsidRPr="006274B4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being of</w:t>
      </w:r>
      <w:r w:rsidR="002B2D2E" w:rsidRPr="006274B4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benefit to the civil claim </w:t>
      </w:r>
      <w:r w:rsidRPr="006274B4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and </w:t>
      </w:r>
      <w:r w:rsidR="002B2D2E" w:rsidRPr="006274B4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that the costs </w:t>
      </w:r>
      <w:r w:rsidRPr="006274B4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involved were </w:t>
      </w:r>
      <w:r w:rsidR="002B2D2E" w:rsidRPr="006274B4">
        <w:rPr>
          <w:rFonts w:asciiTheme="minorHAnsi" w:hAnsiTheme="minorHAnsi" w:cstheme="minorHAnsi"/>
          <w:b w:val="0"/>
          <w:color w:val="auto"/>
          <w:sz w:val="24"/>
          <w:szCs w:val="24"/>
        </w:rPr>
        <w:t>reasonable and pro</w:t>
      </w:r>
      <w:r w:rsidR="0039146C">
        <w:rPr>
          <w:rFonts w:asciiTheme="minorHAnsi" w:hAnsiTheme="minorHAnsi" w:cstheme="minorHAnsi"/>
          <w:b w:val="0"/>
          <w:color w:val="auto"/>
          <w:sz w:val="24"/>
          <w:szCs w:val="24"/>
        </w:rPr>
        <w:t>portionate in the pursuit of that</w:t>
      </w:r>
      <w:r w:rsidR="002B2D2E" w:rsidRPr="006274B4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civil claim. </w:t>
      </w:r>
    </w:p>
    <w:p w:rsidR="0027769E" w:rsidRPr="0027769E" w:rsidRDefault="0027769E" w:rsidP="0027769E"/>
    <w:p w:rsidR="002B2D2E" w:rsidRPr="006274B4" w:rsidRDefault="00386927" w:rsidP="006274B4">
      <w:pPr>
        <w:pStyle w:val="Heading3"/>
        <w:jc w:val="both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6274B4">
        <w:rPr>
          <w:rFonts w:asciiTheme="minorHAnsi" w:hAnsiTheme="minorHAnsi" w:cstheme="minorHAnsi"/>
          <w:b w:val="0"/>
          <w:color w:val="auto"/>
          <w:sz w:val="24"/>
          <w:szCs w:val="24"/>
        </w:rPr>
        <w:t>In t</w:t>
      </w:r>
      <w:r w:rsidR="002B2D2E" w:rsidRPr="006274B4">
        <w:rPr>
          <w:rFonts w:asciiTheme="minorHAnsi" w:hAnsiTheme="minorHAnsi" w:cstheme="minorHAnsi"/>
          <w:b w:val="0"/>
          <w:color w:val="auto"/>
          <w:sz w:val="24"/>
          <w:szCs w:val="24"/>
        </w:rPr>
        <w:t>he</w:t>
      </w:r>
      <w:r w:rsidR="006274B4" w:rsidRPr="006274B4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assessment of costs the</w:t>
      </w:r>
      <w:r w:rsidR="002B2D2E" w:rsidRPr="006274B4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defendants</w:t>
      </w:r>
      <w:r w:rsidR="00BF22B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had</w:t>
      </w:r>
      <w:r w:rsidR="002B2D2E" w:rsidRPr="006274B4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raised the issues of necessity and proportionality, </w:t>
      </w:r>
      <w:r w:rsidR="006274B4" w:rsidRPr="006274B4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emphasising that </w:t>
      </w:r>
      <w:r w:rsidR="002B2D2E" w:rsidRPr="006274B4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as a result of the disclosure that had taken place prior to the hearing, the claimants already had access to </w:t>
      </w:r>
      <w:r w:rsidR="006274B4" w:rsidRPr="006274B4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supporting </w:t>
      </w:r>
      <w:r w:rsidR="002B2D2E" w:rsidRPr="006274B4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evidence in </w:t>
      </w:r>
      <w:r w:rsidR="006274B4" w:rsidRPr="006274B4">
        <w:rPr>
          <w:rFonts w:asciiTheme="minorHAnsi" w:hAnsiTheme="minorHAnsi" w:cstheme="minorHAnsi"/>
          <w:b w:val="0"/>
          <w:color w:val="auto"/>
          <w:sz w:val="24"/>
          <w:szCs w:val="24"/>
        </w:rPr>
        <w:t>respect of</w:t>
      </w:r>
      <w:r w:rsidR="002B2D2E" w:rsidRPr="006274B4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each particular in the civil claim, thereby negating the need for attendance at the level claimed at the inquest hearing itself.</w:t>
      </w:r>
    </w:p>
    <w:p w:rsidR="002B2D2E" w:rsidRPr="006274B4" w:rsidRDefault="006274B4" w:rsidP="006274B4">
      <w:pPr>
        <w:pStyle w:val="Heading3"/>
        <w:jc w:val="both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6274B4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It is useful to note that the </w:t>
      </w:r>
      <w:r w:rsidR="002B2D2E" w:rsidRPr="006274B4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Costs Judge went on to find that </w:t>
      </w:r>
      <w:r w:rsidR="0002059E">
        <w:rPr>
          <w:rFonts w:asciiTheme="minorHAnsi" w:hAnsiTheme="minorHAnsi" w:cstheme="minorHAnsi"/>
          <w:b w:val="0"/>
          <w:color w:val="auto"/>
          <w:sz w:val="24"/>
          <w:szCs w:val="24"/>
        </w:rPr>
        <w:t>costs incurred in the following</w:t>
      </w:r>
      <w:r w:rsidR="00561842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</w:t>
      </w:r>
      <w:r w:rsidR="002B2D2E" w:rsidRPr="006274B4">
        <w:rPr>
          <w:rFonts w:asciiTheme="minorHAnsi" w:hAnsiTheme="minorHAnsi" w:cstheme="minorHAnsi"/>
          <w:b w:val="0"/>
          <w:color w:val="auto"/>
          <w:sz w:val="24"/>
          <w:szCs w:val="24"/>
        </w:rPr>
        <w:t>categories</w:t>
      </w:r>
      <w:r w:rsidR="00561842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(as raised by the Defendant) </w:t>
      </w:r>
      <w:r w:rsidR="00561842" w:rsidRPr="006274B4">
        <w:rPr>
          <w:rFonts w:asciiTheme="minorHAnsi" w:hAnsiTheme="minorHAnsi" w:cstheme="minorHAnsi"/>
          <w:b w:val="0"/>
          <w:color w:val="auto"/>
          <w:sz w:val="24"/>
          <w:szCs w:val="24"/>
        </w:rPr>
        <w:t>were</w:t>
      </w:r>
      <w:r w:rsidR="00C6707B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not recoverable in this case</w:t>
      </w:r>
      <w:r w:rsidR="002B2D2E" w:rsidRPr="006274B4">
        <w:rPr>
          <w:rFonts w:asciiTheme="minorHAnsi" w:hAnsiTheme="minorHAnsi" w:cstheme="minorHAnsi"/>
          <w:b w:val="0"/>
          <w:color w:val="auto"/>
          <w:sz w:val="24"/>
          <w:szCs w:val="24"/>
        </w:rPr>
        <w:t>:</w:t>
      </w:r>
    </w:p>
    <w:p w:rsidR="002B2D2E" w:rsidRPr="006274B4" w:rsidRDefault="006274B4" w:rsidP="006274B4">
      <w:pPr>
        <w:pStyle w:val="Heading3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6274B4">
        <w:rPr>
          <w:rFonts w:asciiTheme="minorHAnsi" w:hAnsiTheme="minorHAnsi" w:cstheme="minorHAnsi"/>
          <w:color w:val="auto"/>
          <w:sz w:val="24"/>
          <w:szCs w:val="24"/>
        </w:rPr>
        <w:t>-</w:t>
      </w:r>
      <w:r w:rsidR="002B2D2E" w:rsidRPr="006274B4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F52617">
        <w:rPr>
          <w:rFonts w:asciiTheme="minorHAnsi" w:hAnsiTheme="minorHAnsi" w:cstheme="minorHAnsi"/>
          <w:color w:val="auto"/>
          <w:sz w:val="24"/>
          <w:szCs w:val="24"/>
        </w:rPr>
        <w:t xml:space="preserve">(Para 78) </w:t>
      </w:r>
      <w:r w:rsidR="002B2D2E" w:rsidRPr="006274B4">
        <w:rPr>
          <w:rFonts w:asciiTheme="minorHAnsi" w:hAnsiTheme="minorHAnsi" w:cstheme="minorHAnsi"/>
          <w:color w:val="auto"/>
          <w:sz w:val="24"/>
          <w:szCs w:val="24"/>
        </w:rPr>
        <w:t xml:space="preserve">Time spent that was irrelevant to the civil claim such as attending </w:t>
      </w:r>
      <w:r w:rsidR="00386927" w:rsidRPr="006274B4">
        <w:rPr>
          <w:rFonts w:asciiTheme="minorHAnsi" w:hAnsiTheme="minorHAnsi" w:cstheme="minorHAnsi"/>
          <w:color w:val="auto"/>
          <w:sz w:val="24"/>
          <w:szCs w:val="24"/>
        </w:rPr>
        <w:t>pre-inquest reviews,</w:t>
      </w:r>
      <w:r w:rsidR="002B2D2E" w:rsidRPr="006274B4">
        <w:rPr>
          <w:rFonts w:asciiTheme="minorHAnsi" w:hAnsiTheme="minorHAnsi" w:cstheme="minorHAnsi"/>
          <w:color w:val="auto"/>
          <w:sz w:val="24"/>
          <w:szCs w:val="24"/>
        </w:rPr>
        <w:t xml:space="preserve"> the opening of the inquest, procedural matters, summing up, jury que</w:t>
      </w:r>
      <w:r w:rsidR="00694BC3">
        <w:rPr>
          <w:rFonts w:asciiTheme="minorHAnsi" w:hAnsiTheme="minorHAnsi" w:cstheme="minorHAnsi"/>
          <w:color w:val="auto"/>
          <w:sz w:val="24"/>
          <w:szCs w:val="24"/>
        </w:rPr>
        <w:t>stions and</w:t>
      </w:r>
      <w:r w:rsidR="00F52617">
        <w:rPr>
          <w:rFonts w:asciiTheme="minorHAnsi" w:hAnsiTheme="minorHAnsi" w:cstheme="minorHAnsi"/>
          <w:color w:val="auto"/>
          <w:sz w:val="24"/>
          <w:szCs w:val="24"/>
        </w:rPr>
        <w:t xml:space="preserve"> waiting for the jury.</w:t>
      </w:r>
    </w:p>
    <w:p w:rsidR="002B2D2E" w:rsidRDefault="002B2D2E" w:rsidP="006274B4">
      <w:pPr>
        <w:pStyle w:val="Heading3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6274B4">
        <w:rPr>
          <w:rFonts w:asciiTheme="minorHAnsi" w:hAnsiTheme="minorHAnsi" w:cstheme="minorHAnsi"/>
          <w:color w:val="auto"/>
          <w:sz w:val="24"/>
          <w:szCs w:val="24"/>
        </w:rPr>
        <w:t>-</w:t>
      </w:r>
      <w:r w:rsidR="00F52617">
        <w:rPr>
          <w:rFonts w:asciiTheme="minorHAnsi" w:hAnsiTheme="minorHAnsi" w:cstheme="minorHAnsi"/>
          <w:color w:val="auto"/>
          <w:sz w:val="24"/>
          <w:szCs w:val="24"/>
        </w:rPr>
        <w:t xml:space="preserve"> (Para 77)</w:t>
      </w:r>
      <w:r w:rsidRPr="006274B4">
        <w:rPr>
          <w:rFonts w:asciiTheme="minorHAnsi" w:hAnsiTheme="minorHAnsi" w:cstheme="minorHAnsi"/>
          <w:color w:val="auto"/>
          <w:sz w:val="24"/>
          <w:szCs w:val="24"/>
        </w:rPr>
        <w:t xml:space="preserve"> Time spent listening to witness </w:t>
      </w:r>
      <w:r w:rsidR="00561842" w:rsidRPr="006274B4">
        <w:rPr>
          <w:rFonts w:asciiTheme="minorHAnsi" w:hAnsiTheme="minorHAnsi" w:cstheme="minorHAnsi"/>
          <w:color w:val="auto"/>
          <w:sz w:val="24"/>
          <w:szCs w:val="24"/>
        </w:rPr>
        <w:t>statements</w:t>
      </w:r>
      <w:r w:rsidR="00561842">
        <w:rPr>
          <w:rFonts w:asciiTheme="minorHAnsi" w:hAnsiTheme="minorHAnsi" w:cstheme="minorHAnsi"/>
          <w:color w:val="auto"/>
          <w:sz w:val="24"/>
          <w:szCs w:val="24"/>
        </w:rPr>
        <w:t xml:space="preserve"> being</w:t>
      </w:r>
      <w:r w:rsidR="00F52617">
        <w:rPr>
          <w:rFonts w:asciiTheme="minorHAnsi" w:hAnsiTheme="minorHAnsi" w:cstheme="minorHAnsi"/>
          <w:color w:val="auto"/>
          <w:sz w:val="24"/>
          <w:szCs w:val="24"/>
        </w:rPr>
        <w:t xml:space="preserve"> read out.</w:t>
      </w:r>
    </w:p>
    <w:p w:rsidR="0002059E" w:rsidRPr="0027769E" w:rsidRDefault="00561842" w:rsidP="006274B4">
      <w:pPr>
        <w:pStyle w:val="Heading3"/>
        <w:jc w:val="both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6274B4">
        <w:rPr>
          <w:rFonts w:asciiTheme="minorHAnsi" w:hAnsiTheme="minorHAnsi" w:cstheme="minorHAnsi"/>
          <w:b w:val="0"/>
          <w:color w:val="auto"/>
          <w:sz w:val="24"/>
          <w:szCs w:val="24"/>
        </w:rPr>
        <w:t>In addition the Master disallowed the costs of leading counsel attending the inquest</w:t>
      </w:r>
      <w:r w:rsidR="0002059E">
        <w:rPr>
          <w:rFonts w:asciiTheme="minorHAnsi" w:hAnsiTheme="minorHAnsi" w:cstheme="minorHAnsi"/>
          <w:b w:val="0"/>
          <w:color w:val="auto"/>
          <w:sz w:val="24"/>
          <w:szCs w:val="24"/>
        </w:rPr>
        <w:t>.</w:t>
      </w:r>
      <w:r w:rsidRPr="006274B4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</w:t>
      </w:r>
      <w:r w:rsidR="0002059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He </w:t>
      </w:r>
      <w:r w:rsidRPr="006274B4">
        <w:rPr>
          <w:rFonts w:asciiTheme="minorHAnsi" w:hAnsiTheme="minorHAnsi" w:cstheme="minorHAnsi"/>
          <w:b w:val="0"/>
          <w:color w:val="auto"/>
          <w:sz w:val="24"/>
          <w:szCs w:val="24"/>
        </w:rPr>
        <w:t>allowing only the cost of junior counsel (though observed a senior solicitor may be equally suitable</w:t>
      </w:r>
      <w:r>
        <w:rPr>
          <w:rFonts w:asciiTheme="minorHAnsi" w:hAnsiTheme="minorHAnsi" w:cstheme="minorHAnsi"/>
          <w:b w:val="0"/>
          <w:color w:val="auto"/>
          <w:sz w:val="24"/>
          <w:szCs w:val="24"/>
        </w:rPr>
        <w:t>) for the following categories:</w:t>
      </w:r>
    </w:p>
    <w:p w:rsidR="002B2D2E" w:rsidRPr="006274B4" w:rsidRDefault="002B2D2E" w:rsidP="006274B4">
      <w:pPr>
        <w:pStyle w:val="Heading3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6274B4">
        <w:rPr>
          <w:rFonts w:asciiTheme="minorHAnsi" w:hAnsiTheme="minorHAnsi" w:cstheme="minorHAnsi"/>
          <w:color w:val="auto"/>
          <w:sz w:val="24"/>
          <w:szCs w:val="24"/>
        </w:rPr>
        <w:t xml:space="preserve">- </w:t>
      </w:r>
      <w:r w:rsidR="00F52617">
        <w:rPr>
          <w:rFonts w:asciiTheme="minorHAnsi" w:hAnsiTheme="minorHAnsi" w:cstheme="minorHAnsi"/>
          <w:color w:val="auto"/>
          <w:sz w:val="24"/>
          <w:szCs w:val="24"/>
        </w:rPr>
        <w:t xml:space="preserve">(Para 86 onwards) </w:t>
      </w:r>
      <w:r w:rsidRPr="006274B4">
        <w:rPr>
          <w:rFonts w:asciiTheme="minorHAnsi" w:hAnsiTheme="minorHAnsi" w:cstheme="minorHAnsi"/>
          <w:color w:val="auto"/>
          <w:sz w:val="24"/>
          <w:szCs w:val="24"/>
        </w:rPr>
        <w:t xml:space="preserve">Attendance during the evidence </w:t>
      </w:r>
      <w:r w:rsidR="00694BC3">
        <w:rPr>
          <w:rFonts w:asciiTheme="minorHAnsi" w:hAnsiTheme="minorHAnsi" w:cstheme="minorHAnsi"/>
          <w:color w:val="auto"/>
          <w:sz w:val="24"/>
          <w:szCs w:val="24"/>
        </w:rPr>
        <w:t>of the Claimants’</w:t>
      </w:r>
      <w:r w:rsidR="00F52617">
        <w:rPr>
          <w:rFonts w:asciiTheme="minorHAnsi" w:hAnsiTheme="minorHAnsi" w:cstheme="minorHAnsi"/>
          <w:color w:val="auto"/>
          <w:sz w:val="24"/>
          <w:szCs w:val="24"/>
        </w:rPr>
        <w:t xml:space="preserve"> own witnesses</w:t>
      </w:r>
    </w:p>
    <w:p w:rsidR="002B2D2E" w:rsidRPr="006274B4" w:rsidRDefault="002B2D2E" w:rsidP="006274B4">
      <w:pPr>
        <w:pStyle w:val="Heading3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6274B4">
        <w:rPr>
          <w:rFonts w:asciiTheme="minorHAnsi" w:hAnsiTheme="minorHAnsi" w:cstheme="minorHAnsi"/>
          <w:color w:val="auto"/>
          <w:sz w:val="24"/>
          <w:szCs w:val="24"/>
        </w:rPr>
        <w:t xml:space="preserve">- </w:t>
      </w:r>
      <w:r w:rsidR="00F52617">
        <w:rPr>
          <w:rFonts w:asciiTheme="minorHAnsi" w:hAnsiTheme="minorHAnsi" w:cstheme="minorHAnsi"/>
          <w:color w:val="auto"/>
          <w:sz w:val="24"/>
          <w:szCs w:val="24"/>
        </w:rPr>
        <w:t xml:space="preserve">(Para 86 onwards) </w:t>
      </w:r>
      <w:r w:rsidRPr="006274B4">
        <w:rPr>
          <w:rFonts w:asciiTheme="minorHAnsi" w:hAnsiTheme="minorHAnsi" w:cstheme="minorHAnsi"/>
          <w:color w:val="auto"/>
          <w:sz w:val="24"/>
          <w:szCs w:val="24"/>
        </w:rPr>
        <w:t>Attendance when no questions were asked</w:t>
      </w:r>
      <w:r w:rsidR="00561842">
        <w:rPr>
          <w:rFonts w:asciiTheme="minorHAnsi" w:hAnsiTheme="minorHAnsi" w:cstheme="minorHAnsi"/>
          <w:color w:val="auto"/>
          <w:sz w:val="24"/>
          <w:szCs w:val="24"/>
        </w:rPr>
        <w:t xml:space="preserve"> of witnesses</w:t>
      </w:r>
      <w:r w:rsidR="00694BC3">
        <w:rPr>
          <w:rFonts w:asciiTheme="minorHAnsi" w:hAnsiTheme="minorHAnsi" w:cstheme="minorHAnsi"/>
          <w:color w:val="auto"/>
          <w:sz w:val="24"/>
          <w:szCs w:val="24"/>
        </w:rPr>
        <w:t xml:space="preserve"> by the C</w:t>
      </w:r>
      <w:r w:rsidR="00F52617">
        <w:rPr>
          <w:rFonts w:asciiTheme="minorHAnsi" w:hAnsiTheme="minorHAnsi" w:cstheme="minorHAnsi"/>
          <w:color w:val="auto"/>
          <w:sz w:val="24"/>
          <w:szCs w:val="24"/>
        </w:rPr>
        <w:t>laimants’ team</w:t>
      </w:r>
    </w:p>
    <w:p w:rsidR="002B2D2E" w:rsidRPr="006274B4" w:rsidRDefault="002B2D2E" w:rsidP="006274B4">
      <w:pPr>
        <w:pStyle w:val="Heading3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6274B4">
        <w:rPr>
          <w:rFonts w:asciiTheme="minorHAnsi" w:hAnsiTheme="minorHAnsi" w:cstheme="minorHAnsi"/>
          <w:color w:val="auto"/>
          <w:sz w:val="24"/>
          <w:szCs w:val="24"/>
        </w:rPr>
        <w:t xml:space="preserve">- </w:t>
      </w:r>
      <w:r w:rsidR="00F52617">
        <w:rPr>
          <w:rFonts w:asciiTheme="minorHAnsi" w:hAnsiTheme="minorHAnsi" w:cstheme="minorHAnsi"/>
          <w:color w:val="auto"/>
          <w:sz w:val="24"/>
          <w:szCs w:val="24"/>
        </w:rPr>
        <w:t xml:space="preserve">(Para 86 onwards) </w:t>
      </w:r>
      <w:r w:rsidRPr="006274B4">
        <w:rPr>
          <w:rFonts w:asciiTheme="minorHAnsi" w:hAnsiTheme="minorHAnsi" w:cstheme="minorHAnsi"/>
          <w:color w:val="auto"/>
          <w:sz w:val="24"/>
          <w:szCs w:val="24"/>
        </w:rPr>
        <w:t>Attendance during the evidence of witnesses whom the coroner described</w:t>
      </w:r>
      <w:r w:rsidR="00694BC3">
        <w:rPr>
          <w:rFonts w:asciiTheme="minorHAnsi" w:hAnsiTheme="minorHAnsi" w:cstheme="minorHAnsi"/>
          <w:color w:val="auto"/>
          <w:sz w:val="24"/>
          <w:szCs w:val="24"/>
        </w:rPr>
        <w:t xml:space="preserve"> as not being d</w:t>
      </w:r>
      <w:r w:rsidR="00F52617">
        <w:rPr>
          <w:rFonts w:asciiTheme="minorHAnsi" w:hAnsiTheme="minorHAnsi" w:cstheme="minorHAnsi"/>
          <w:color w:val="auto"/>
          <w:sz w:val="24"/>
          <w:szCs w:val="24"/>
        </w:rPr>
        <w:t>irectly involved</w:t>
      </w:r>
    </w:p>
    <w:p w:rsidR="0039146C" w:rsidRDefault="002B2D2E" w:rsidP="0039146C">
      <w:pPr>
        <w:pStyle w:val="Heading3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6274B4">
        <w:rPr>
          <w:rFonts w:asciiTheme="minorHAnsi" w:hAnsiTheme="minorHAnsi" w:cstheme="minorHAnsi"/>
          <w:color w:val="auto"/>
          <w:sz w:val="24"/>
          <w:szCs w:val="24"/>
        </w:rPr>
        <w:t xml:space="preserve">- </w:t>
      </w:r>
      <w:r w:rsidR="00F52617">
        <w:rPr>
          <w:rFonts w:asciiTheme="minorHAnsi" w:hAnsiTheme="minorHAnsi" w:cstheme="minorHAnsi"/>
          <w:color w:val="auto"/>
          <w:sz w:val="24"/>
          <w:szCs w:val="24"/>
        </w:rPr>
        <w:t xml:space="preserve">(Para 86 onwards) </w:t>
      </w:r>
      <w:r w:rsidRPr="006274B4">
        <w:rPr>
          <w:rFonts w:asciiTheme="minorHAnsi" w:hAnsiTheme="minorHAnsi" w:cstheme="minorHAnsi"/>
          <w:color w:val="auto"/>
          <w:sz w:val="24"/>
          <w:szCs w:val="24"/>
        </w:rPr>
        <w:t>Attendance during the evidence of th</w:t>
      </w:r>
      <w:r w:rsidR="00694BC3">
        <w:rPr>
          <w:rFonts w:asciiTheme="minorHAnsi" w:hAnsiTheme="minorHAnsi" w:cstheme="minorHAnsi"/>
          <w:color w:val="auto"/>
          <w:sz w:val="24"/>
          <w:szCs w:val="24"/>
        </w:rPr>
        <w:t>e Defendants’ syst</w:t>
      </w:r>
      <w:r w:rsidR="00F52617">
        <w:rPr>
          <w:rFonts w:asciiTheme="minorHAnsi" w:hAnsiTheme="minorHAnsi" w:cstheme="minorHAnsi"/>
          <w:color w:val="auto"/>
          <w:sz w:val="24"/>
          <w:szCs w:val="24"/>
        </w:rPr>
        <w:t>ems witnesses</w:t>
      </w:r>
    </w:p>
    <w:p w:rsidR="0002059E" w:rsidRDefault="0002059E" w:rsidP="0002059E"/>
    <w:p w:rsidR="0002059E" w:rsidRPr="0002059E" w:rsidRDefault="0002059E" w:rsidP="0002059E">
      <w:r>
        <w:t>The Master also concluded that:</w:t>
      </w:r>
    </w:p>
    <w:p w:rsidR="0002059E" w:rsidRPr="0002059E" w:rsidRDefault="0002059E" w:rsidP="0002059E"/>
    <w:p w:rsidR="0002059E" w:rsidRDefault="00561842" w:rsidP="0002059E">
      <w:pPr>
        <w:pStyle w:val="Heading3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 xml:space="preserve">- </w:t>
      </w:r>
      <w:r w:rsidR="00F52617">
        <w:rPr>
          <w:rFonts w:asciiTheme="minorHAnsi" w:hAnsiTheme="minorHAnsi" w:cstheme="minorHAnsi"/>
          <w:color w:val="auto"/>
          <w:sz w:val="24"/>
          <w:szCs w:val="24"/>
        </w:rPr>
        <w:t xml:space="preserve">(Para 95) </w:t>
      </w:r>
      <w:r w:rsidR="0002059E">
        <w:rPr>
          <w:rFonts w:asciiTheme="minorHAnsi" w:hAnsiTheme="minorHAnsi" w:cstheme="minorHAnsi"/>
          <w:color w:val="auto"/>
          <w:sz w:val="24"/>
          <w:szCs w:val="24"/>
        </w:rPr>
        <w:t>For a</w:t>
      </w:r>
      <w:r>
        <w:rPr>
          <w:rFonts w:asciiTheme="minorHAnsi" w:hAnsiTheme="minorHAnsi" w:cstheme="minorHAnsi"/>
          <w:color w:val="auto"/>
          <w:sz w:val="24"/>
          <w:szCs w:val="24"/>
        </w:rPr>
        <w:t>ttendance</w:t>
      </w:r>
      <w:r w:rsidR="0002059E">
        <w:rPr>
          <w:rFonts w:asciiTheme="minorHAnsi" w:hAnsiTheme="minorHAnsi" w:cstheme="minorHAnsi"/>
          <w:color w:val="auto"/>
          <w:sz w:val="24"/>
          <w:szCs w:val="24"/>
        </w:rPr>
        <w:t>s</w:t>
      </w:r>
      <w:r>
        <w:rPr>
          <w:rFonts w:asciiTheme="minorHAnsi" w:hAnsiTheme="minorHAnsi" w:cstheme="minorHAnsi"/>
          <w:color w:val="auto"/>
          <w:sz w:val="24"/>
          <w:szCs w:val="24"/>
        </w:rPr>
        <w:t xml:space="preserve"> w</w:t>
      </w:r>
      <w:r w:rsidR="002B2D2E" w:rsidRPr="005835A7">
        <w:rPr>
          <w:rFonts w:asciiTheme="minorHAnsi" w:hAnsiTheme="minorHAnsi" w:cstheme="minorHAnsi"/>
          <w:color w:val="auto"/>
          <w:sz w:val="24"/>
          <w:szCs w:val="24"/>
        </w:rPr>
        <w:t>here</w:t>
      </w:r>
      <w:r w:rsidR="0002059E">
        <w:rPr>
          <w:rFonts w:asciiTheme="minorHAnsi" w:hAnsiTheme="minorHAnsi" w:cstheme="minorHAnsi"/>
          <w:color w:val="auto"/>
          <w:sz w:val="24"/>
          <w:szCs w:val="24"/>
        </w:rPr>
        <w:t xml:space="preserve"> witness evidence was being given by</w:t>
      </w:r>
      <w:r w:rsidR="002B2D2E" w:rsidRPr="005835A7">
        <w:rPr>
          <w:rFonts w:asciiTheme="minorHAnsi" w:hAnsiTheme="minorHAnsi" w:cstheme="minorHAnsi"/>
          <w:color w:val="auto"/>
          <w:sz w:val="24"/>
          <w:szCs w:val="24"/>
        </w:rPr>
        <w:t xml:space="preserve"> witnesses </w:t>
      </w:r>
      <w:r w:rsidR="0002059E">
        <w:rPr>
          <w:rFonts w:asciiTheme="minorHAnsi" w:hAnsiTheme="minorHAnsi" w:cstheme="minorHAnsi"/>
          <w:color w:val="auto"/>
          <w:sz w:val="24"/>
          <w:szCs w:val="24"/>
        </w:rPr>
        <w:t xml:space="preserve">who </w:t>
      </w:r>
      <w:r w:rsidR="002B2D2E" w:rsidRPr="005835A7">
        <w:rPr>
          <w:rFonts w:asciiTheme="minorHAnsi" w:hAnsiTheme="minorHAnsi" w:cstheme="minorHAnsi"/>
          <w:color w:val="auto"/>
          <w:sz w:val="24"/>
          <w:szCs w:val="24"/>
        </w:rPr>
        <w:t>had previously given evidence in other</w:t>
      </w:r>
      <w:r w:rsidR="005835A7">
        <w:rPr>
          <w:rFonts w:asciiTheme="minorHAnsi" w:hAnsiTheme="minorHAnsi" w:cstheme="minorHAnsi"/>
          <w:color w:val="auto"/>
          <w:sz w:val="24"/>
          <w:szCs w:val="24"/>
        </w:rPr>
        <w:t xml:space="preserve"> related</w:t>
      </w:r>
      <w:r w:rsidR="002B2D2E" w:rsidRPr="005835A7">
        <w:rPr>
          <w:rFonts w:asciiTheme="minorHAnsi" w:hAnsiTheme="minorHAnsi" w:cstheme="minorHAnsi"/>
          <w:color w:val="auto"/>
          <w:sz w:val="24"/>
          <w:szCs w:val="24"/>
        </w:rPr>
        <w:t xml:space="preserve"> proceedings (</w:t>
      </w:r>
      <w:r w:rsidR="006274B4" w:rsidRPr="005835A7">
        <w:rPr>
          <w:rFonts w:asciiTheme="minorHAnsi" w:hAnsiTheme="minorHAnsi" w:cstheme="minorHAnsi"/>
          <w:color w:val="auto"/>
          <w:sz w:val="24"/>
          <w:szCs w:val="24"/>
        </w:rPr>
        <w:t>in this case there had been a</w:t>
      </w:r>
      <w:r w:rsidR="002B2D2E" w:rsidRPr="005835A7">
        <w:rPr>
          <w:rFonts w:asciiTheme="minorHAnsi" w:hAnsiTheme="minorHAnsi" w:cstheme="minorHAnsi"/>
          <w:color w:val="auto"/>
          <w:sz w:val="24"/>
          <w:szCs w:val="24"/>
        </w:rPr>
        <w:t xml:space="preserve"> police disciplinary hearing), all that was recoverable were the costs of the attendance of a tr</w:t>
      </w:r>
      <w:r w:rsidR="00694BC3">
        <w:rPr>
          <w:rFonts w:asciiTheme="minorHAnsi" w:hAnsiTheme="minorHAnsi" w:cstheme="minorHAnsi"/>
          <w:color w:val="auto"/>
          <w:sz w:val="24"/>
          <w:szCs w:val="24"/>
        </w:rPr>
        <w:t>ainee so</w:t>
      </w:r>
      <w:r w:rsidR="00F52617">
        <w:rPr>
          <w:rFonts w:asciiTheme="minorHAnsi" w:hAnsiTheme="minorHAnsi" w:cstheme="minorHAnsi"/>
          <w:color w:val="auto"/>
          <w:sz w:val="24"/>
          <w:szCs w:val="24"/>
        </w:rPr>
        <w:t>licitor to take a note</w:t>
      </w:r>
      <w:r w:rsidR="0027769E">
        <w:rPr>
          <w:rFonts w:asciiTheme="minorHAnsi" w:hAnsiTheme="minorHAnsi" w:cstheme="minorHAnsi"/>
          <w:color w:val="auto"/>
          <w:sz w:val="24"/>
          <w:szCs w:val="24"/>
        </w:rPr>
        <w:t>.</w:t>
      </w:r>
    </w:p>
    <w:p w:rsidR="0002059E" w:rsidRDefault="0002059E" w:rsidP="0002059E"/>
    <w:p w:rsidR="0027769E" w:rsidRDefault="0002059E" w:rsidP="0027769E">
      <w:r>
        <w:t>And</w:t>
      </w:r>
    </w:p>
    <w:p w:rsidR="002B2D2E" w:rsidRPr="0027769E" w:rsidRDefault="00F52617" w:rsidP="0027769E">
      <w:pPr>
        <w:rPr>
          <w:b/>
        </w:rPr>
      </w:pPr>
      <w:r w:rsidRPr="0027769E">
        <w:rPr>
          <w:rFonts w:cstheme="minorHAnsi"/>
          <w:b/>
          <w:sz w:val="24"/>
          <w:szCs w:val="24"/>
        </w:rPr>
        <w:t>At Para 97 t</w:t>
      </w:r>
      <w:r w:rsidR="006274B4" w:rsidRPr="0027769E">
        <w:rPr>
          <w:rFonts w:cstheme="minorHAnsi"/>
          <w:b/>
          <w:sz w:val="24"/>
          <w:szCs w:val="24"/>
        </w:rPr>
        <w:t>he Costs Judge added that</w:t>
      </w:r>
      <w:r w:rsidR="002B2D2E" w:rsidRPr="0027769E">
        <w:rPr>
          <w:rFonts w:cstheme="minorHAnsi"/>
          <w:b/>
          <w:sz w:val="24"/>
          <w:szCs w:val="24"/>
        </w:rPr>
        <w:t xml:space="preserve"> ‘client care’ or ‘hand-holding’ fell within the private</w:t>
      </w:r>
      <w:r w:rsidR="005835A7" w:rsidRPr="0027769E">
        <w:rPr>
          <w:rFonts w:cstheme="minorHAnsi"/>
          <w:b/>
          <w:sz w:val="24"/>
          <w:szCs w:val="24"/>
        </w:rPr>
        <w:t>/public funding</w:t>
      </w:r>
      <w:r w:rsidR="002B2D2E" w:rsidRPr="0027769E">
        <w:rPr>
          <w:rFonts w:cstheme="minorHAnsi"/>
          <w:b/>
          <w:sz w:val="24"/>
          <w:szCs w:val="24"/>
        </w:rPr>
        <w:t xml:space="preserve"> retainer regarding attending the inquest and </w:t>
      </w:r>
      <w:r w:rsidR="00694BC3" w:rsidRPr="0027769E">
        <w:rPr>
          <w:rFonts w:cstheme="minorHAnsi"/>
          <w:b/>
          <w:sz w:val="24"/>
          <w:szCs w:val="24"/>
        </w:rPr>
        <w:t>was not p</w:t>
      </w:r>
      <w:r w:rsidR="0027769E">
        <w:rPr>
          <w:rFonts w:cstheme="minorHAnsi"/>
          <w:b/>
          <w:sz w:val="24"/>
          <w:szCs w:val="24"/>
        </w:rPr>
        <w:t>art of the civil claim.</w:t>
      </w:r>
    </w:p>
    <w:p w:rsidR="005835A7" w:rsidRPr="005835A7" w:rsidRDefault="005835A7" w:rsidP="005835A7"/>
    <w:p w:rsidR="005658F2" w:rsidRPr="006274B4" w:rsidRDefault="00386927" w:rsidP="006274B4">
      <w:pPr>
        <w:pStyle w:val="Heading3"/>
        <w:jc w:val="both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6274B4">
        <w:rPr>
          <w:rFonts w:asciiTheme="minorHAnsi" w:hAnsiTheme="minorHAnsi" w:cstheme="minorHAnsi"/>
          <w:b w:val="0"/>
          <w:color w:val="auto"/>
          <w:sz w:val="24"/>
          <w:szCs w:val="24"/>
        </w:rPr>
        <w:t>This was a robust decision fr</w:t>
      </w:r>
      <w:r w:rsidR="00F52617">
        <w:rPr>
          <w:rFonts w:asciiTheme="minorHAnsi" w:hAnsiTheme="minorHAnsi" w:cstheme="minorHAnsi"/>
          <w:b w:val="0"/>
          <w:color w:val="auto"/>
          <w:sz w:val="24"/>
          <w:szCs w:val="24"/>
        </w:rPr>
        <w:t>om a Costs Judge known to be</w:t>
      </w:r>
      <w:r w:rsidRPr="006274B4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willing to raise his head above the parapet and has been welcomed, unsurprisingly, by Defendants; it is clear that there must be </w:t>
      </w:r>
      <w:r w:rsidR="0039146C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substantial </w:t>
      </w:r>
      <w:r w:rsidRPr="006274B4">
        <w:rPr>
          <w:rFonts w:asciiTheme="minorHAnsi" w:hAnsiTheme="minorHAnsi" w:cstheme="minorHAnsi"/>
          <w:b w:val="0"/>
          <w:color w:val="auto"/>
          <w:sz w:val="24"/>
          <w:szCs w:val="24"/>
        </w:rPr>
        <w:t>evidence that the work</w:t>
      </w:r>
      <w:r w:rsidR="0002059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undertaken preparing for and</w:t>
      </w:r>
      <w:r w:rsidRPr="006274B4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attending at the inquest was of benefit to the civil claim and that the work undertaken was reasonable, proportionate and necessary.</w:t>
      </w:r>
    </w:p>
    <w:p w:rsidR="00386927" w:rsidRPr="006274B4" w:rsidRDefault="00FB0267" w:rsidP="006274B4">
      <w:pPr>
        <w:pStyle w:val="Heading3"/>
        <w:jc w:val="both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>
        <w:rPr>
          <w:rFonts w:asciiTheme="minorHAnsi" w:hAnsiTheme="minorHAnsi" w:cstheme="minorHAnsi"/>
          <w:b w:val="0"/>
          <w:color w:val="auto"/>
          <w:sz w:val="24"/>
          <w:szCs w:val="24"/>
        </w:rPr>
        <w:t>Should any</w:t>
      </w:r>
      <w:r w:rsidR="00386927" w:rsidRPr="006274B4">
        <w:rPr>
          <w:rFonts w:asciiTheme="minorHAnsi" w:hAnsiTheme="minorHAnsi" w:cstheme="minorHAnsi"/>
          <w:b w:val="0"/>
          <w:color w:val="auto"/>
          <w:sz w:val="24"/>
          <w:szCs w:val="24"/>
        </w:rPr>
        <w:t>one require the full transcript</w:t>
      </w:r>
      <w:r w:rsidR="0039146C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of this case </w:t>
      </w:r>
      <w:r w:rsidR="00386927" w:rsidRPr="006274B4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please </w:t>
      </w:r>
      <w:r w:rsidR="00D81559">
        <w:rPr>
          <w:rFonts w:asciiTheme="minorHAnsi" w:hAnsiTheme="minorHAnsi" w:cstheme="minorHAnsi"/>
          <w:b w:val="0"/>
          <w:color w:val="auto"/>
          <w:sz w:val="24"/>
          <w:szCs w:val="24"/>
        </w:rPr>
        <w:t>contact us.</w:t>
      </w:r>
    </w:p>
    <w:p w:rsidR="00386927" w:rsidRPr="002B2D2E" w:rsidRDefault="00386927" w:rsidP="006274B4"/>
    <w:sectPr w:rsidR="00386927" w:rsidRPr="002B2D2E" w:rsidSect="005658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2B2D2E"/>
    <w:rsid w:val="0002059E"/>
    <w:rsid w:val="0027769E"/>
    <w:rsid w:val="002B2D2E"/>
    <w:rsid w:val="002E4BA7"/>
    <w:rsid w:val="003305C8"/>
    <w:rsid w:val="0033700B"/>
    <w:rsid w:val="00377A2A"/>
    <w:rsid w:val="00386927"/>
    <w:rsid w:val="0039146C"/>
    <w:rsid w:val="003B507E"/>
    <w:rsid w:val="003C058D"/>
    <w:rsid w:val="00407243"/>
    <w:rsid w:val="004B6719"/>
    <w:rsid w:val="00561842"/>
    <w:rsid w:val="005658F2"/>
    <w:rsid w:val="005835A7"/>
    <w:rsid w:val="00596AB0"/>
    <w:rsid w:val="006274B4"/>
    <w:rsid w:val="00694BC3"/>
    <w:rsid w:val="00731A19"/>
    <w:rsid w:val="00854E7F"/>
    <w:rsid w:val="00890EB9"/>
    <w:rsid w:val="00A060A1"/>
    <w:rsid w:val="00BF22BE"/>
    <w:rsid w:val="00C24CB4"/>
    <w:rsid w:val="00C6707B"/>
    <w:rsid w:val="00CB39C9"/>
    <w:rsid w:val="00CE112A"/>
    <w:rsid w:val="00D81559"/>
    <w:rsid w:val="00E8175C"/>
    <w:rsid w:val="00F52617"/>
    <w:rsid w:val="00F57EA6"/>
    <w:rsid w:val="00FB0267"/>
    <w:rsid w:val="00FC1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00B"/>
  </w:style>
  <w:style w:type="paragraph" w:styleId="Heading1">
    <w:name w:val="heading 1"/>
    <w:basedOn w:val="Normal"/>
    <w:next w:val="Normal"/>
    <w:link w:val="Heading1Char"/>
    <w:uiPriority w:val="9"/>
    <w:qFormat/>
    <w:rsid w:val="006274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74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274B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2B2D2E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2B2D2E"/>
    <w:pPr>
      <w:spacing w:after="27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6274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6274B4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6274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274B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1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A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9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3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14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59197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889198">
                      <w:marLeft w:val="5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780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353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965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Matthew Harman &amp; Partners</Company>
  <LinksUpToDate>false</LinksUpToDate>
  <CharactersWithSpaces>6454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gary.knight</dc:creator>
  <cp:lastModifiedBy>vikki.knight</cp:lastModifiedBy>
  <cp:revision>3</cp:revision>
  <cp:lastPrinted>2016-05-04T14:12:00Z</cp:lastPrinted>
  <dcterms:created xsi:type="dcterms:W3CDTF">2016-05-04T13:19:00Z</dcterms:created>
  <dcterms:modified xsi:type="dcterms:W3CDTF">2016-05-04T14:55:00Z</dcterms:modified>
</cp:coreProperties>
</file>